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B9D5F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3118"/>
        <w:gridCol w:w="4053"/>
      </w:tblGrid>
      <w:tr w:rsidR="00A06425" w:rsidRPr="00A06425" w14:paraId="42F41A39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36411B75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14:paraId="7AC71817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6F554B0D" w14:textId="77777777" w:rsidTr="000103EF">
        <w:tc>
          <w:tcPr>
            <w:tcW w:w="562" w:type="dxa"/>
            <w:shd w:val="clear" w:color="auto" w:fill="auto"/>
            <w:vAlign w:val="center"/>
          </w:tcPr>
          <w:p w14:paraId="299EDDE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B33DD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D58E61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67F803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4663D2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053" w:type="dxa"/>
            <w:vAlign w:val="center"/>
          </w:tcPr>
          <w:p w14:paraId="21450173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3E61D530" w14:textId="77777777" w:rsidTr="000103EF">
        <w:tc>
          <w:tcPr>
            <w:tcW w:w="562" w:type="dxa"/>
            <w:shd w:val="clear" w:color="auto" w:fill="auto"/>
          </w:tcPr>
          <w:p w14:paraId="362D2D5B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E31CACE" w14:textId="2E4B2A7C" w:rsidR="00A06425" w:rsidRPr="00A06425" w:rsidRDefault="000915EC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UODO</w:t>
            </w:r>
          </w:p>
        </w:tc>
        <w:tc>
          <w:tcPr>
            <w:tcW w:w="1843" w:type="dxa"/>
            <w:shd w:val="clear" w:color="auto" w:fill="auto"/>
          </w:tcPr>
          <w:p w14:paraId="573E3D5E" w14:textId="26B29975" w:rsidR="00A06425" w:rsidRPr="00A06425" w:rsidRDefault="009944E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4678" w:type="dxa"/>
            <w:shd w:val="clear" w:color="auto" w:fill="auto"/>
          </w:tcPr>
          <w:p w14:paraId="09C514CC" w14:textId="5EBB0C31" w:rsidR="00A06425" w:rsidRPr="00A06425" w:rsidRDefault="000103EF" w:rsidP="004E20F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103EF">
              <w:rPr>
                <w:rFonts w:asciiTheme="minorHAnsi" w:hAnsiTheme="minorHAnsi" w:cstheme="minorHAnsi"/>
                <w:sz w:val="22"/>
                <w:szCs w:val="22"/>
              </w:rPr>
              <w:t xml:space="preserve">W nawiązaniu do </w:t>
            </w:r>
            <w:r w:rsidR="004E20FA" w:rsidRPr="000103EF">
              <w:rPr>
                <w:rFonts w:asciiTheme="minorHAnsi" w:hAnsiTheme="minorHAnsi" w:cstheme="minorHAnsi"/>
                <w:sz w:val="22"/>
                <w:szCs w:val="22"/>
              </w:rPr>
              <w:t xml:space="preserve">przekazanego </w:t>
            </w:r>
            <w:r w:rsidR="004E20FA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103EF">
              <w:rPr>
                <w:rFonts w:asciiTheme="minorHAnsi" w:hAnsiTheme="minorHAnsi" w:cstheme="minorHAnsi"/>
                <w:sz w:val="22"/>
                <w:szCs w:val="22"/>
              </w:rPr>
              <w:t>przedmiotowym piśmie raportu końcowego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103EF">
              <w:rPr>
                <w:rFonts w:asciiTheme="minorHAnsi" w:hAnsiTheme="minorHAnsi" w:cstheme="minorHAnsi"/>
                <w:sz w:val="22"/>
                <w:szCs w:val="22"/>
              </w:rPr>
              <w:t>oprócz wskazania aktualności konsekwentnie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103EF">
              <w:rPr>
                <w:rFonts w:asciiTheme="minorHAnsi" w:hAnsiTheme="minorHAnsi" w:cstheme="minorHAnsi"/>
                <w:sz w:val="22"/>
                <w:szCs w:val="22"/>
              </w:rPr>
              <w:t>podnoszonych zastrzeżeń odnieść się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103EF">
              <w:rPr>
                <w:rFonts w:asciiTheme="minorHAnsi" w:hAnsiTheme="minorHAnsi" w:cstheme="minorHAnsi"/>
                <w:sz w:val="22"/>
                <w:szCs w:val="22"/>
              </w:rPr>
              <w:t>należy w szczególności do pkt. 5 „osiągniętej gotowości zmian legislacyjnych”.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103EF">
              <w:rPr>
                <w:rFonts w:asciiTheme="minorHAnsi" w:hAnsiTheme="minorHAnsi" w:cstheme="minorHAnsi"/>
                <w:sz w:val="22"/>
                <w:szCs w:val="22"/>
              </w:rPr>
              <w:t>ocenie organu nadzorczego, o ile narzędzia i model ZPA mają być stosowane to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103EF">
              <w:rPr>
                <w:rFonts w:asciiTheme="minorHAnsi" w:hAnsiTheme="minorHAnsi" w:cstheme="minorHAnsi"/>
                <w:sz w:val="22"/>
                <w:szCs w:val="22"/>
              </w:rPr>
              <w:t>konieczna jest ponowna analiza koncepcji, na której został oparty projekt,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103EF">
              <w:rPr>
                <w:rFonts w:asciiTheme="minorHAnsi" w:hAnsiTheme="minorHAnsi" w:cstheme="minorHAnsi"/>
                <w:sz w:val="22"/>
                <w:szCs w:val="22"/>
              </w:rPr>
              <w:t>uwzględnieniem stanowiska organu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103EF">
              <w:rPr>
                <w:rFonts w:asciiTheme="minorHAnsi" w:hAnsiTheme="minorHAnsi" w:cstheme="minorHAnsi"/>
                <w:sz w:val="22"/>
                <w:szCs w:val="22"/>
              </w:rPr>
              <w:t>nadzorczego oraz nowelizacja przepisów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103EF">
              <w:rPr>
                <w:rFonts w:asciiTheme="minorHAnsi" w:hAnsiTheme="minorHAnsi" w:cstheme="minorHAnsi"/>
                <w:sz w:val="22"/>
                <w:szCs w:val="22"/>
              </w:rPr>
              <w:t>ustawowych dotyczących ZPA, tak aby 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103EF">
              <w:rPr>
                <w:rFonts w:asciiTheme="minorHAnsi" w:hAnsiTheme="minorHAnsi" w:cstheme="minorHAnsi"/>
                <w:sz w:val="22"/>
                <w:szCs w:val="22"/>
              </w:rPr>
              <w:t>dochodziło do naruszania norm i warunków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103EF">
              <w:rPr>
                <w:rFonts w:asciiTheme="minorHAnsi" w:hAnsiTheme="minorHAnsi" w:cstheme="minorHAnsi"/>
                <w:sz w:val="22"/>
                <w:szCs w:val="22"/>
              </w:rPr>
              <w:t>wynikających z rozporządzenia 2016/679, a tym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103EF">
              <w:rPr>
                <w:rFonts w:asciiTheme="minorHAnsi" w:hAnsiTheme="minorHAnsi" w:cstheme="minorHAnsi"/>
                <w:sz w:val="22"/>
                <w:szCs w:val="22"/>
              </w:rPr>
              <w:t>samym obniżenia standardów ochrony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103EF">
              <w:rPr>
                <w:rFonts w:asciiTheme="minorHAnsi" w:hAnsiTheme="minorHAnsi" w:cstheme="minorHAnsi"/>
                <w:sz w:val="22"/>
                <w:szCs w:val="22"/>
              </w:rPr>
              <w:t>danych osobowych.</w:t>
            </w:r>
          </w:p>
        </w:tc>
        <w:tc>
          <w:tcPr>
            <w:tcW w:w="3118" w:type="dxa"/>
            <w:shd w:val="clear" w:color="auto" w:fill="auto"/>
          </w:tcPr>
          <w:p w14:paraId="68BB7AD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53" w:type="dxa"/>
          </w:tcPr>
          <w:p w14:paraId="11024D9D" w14:textId="0A664438" w:rsidR="000103EF" w:rsidRPr="000103EF" w:rsidRDefault="000103EF" w:rsidP="000103E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103EF">
              <w:rPr>
                <w:rFonts w:asciiTheme="minorHAnsi" w:hAnsiTheme="minorHAnsi" w:cstheme="minorHAnsi"/>
                <w:sz w:val="22"/>
                <w:szCs w:val="22"/>
              </w:rPr>
              <w:t>W ramach Ministerstwa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103EF">
              <w:rPr>
                <w:rFonts w:asciiTheme="minorHAnsi" w:hAnsiTheme="minorHAnsi" w:cstheme="minorHAnsi"/>
                <w:sz w:val="22"/>
                <w:szCs w:val="22"/>
              </w:rPr>
              <w:t>Cyfryzacji powstała koncepcja uwzględniająca standardy zwiększonego bezpieczeństwa dla przetwarzanych danych w ZPA, polegająca na przekazaniu narzędzia w zakresie prowadzenia przez ministra właściwego do spraw informatyzacji do Instytutu Badawczego jakim jest NASK (Naukowa i Akademicki Sieć Komputerowa – Państwowy Instytut Badawczy), jako jednostki wyspecjalizowanej w sprawach zapewniania bezpieczeństwa sieci internetowych,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103EF">
              <w:rPr>
                <w:rFonts w:asciiTheme="minorHAnsi" w:hAnsiTheme="minorHAnsi" w:cstheme="minorHAnsi"/>
                <w:sz w:val="22"/>
                <w:szCs w:val="22"/>
              </w:rPr>
              <w:t>przetwarzania danych oraz prowadzącym analizy.</w:t>
            </w:r>
          </w:p>
          <w:p w14:paraId="7B63CAA3" w14:textId="20683B15" w:rsidR="00A06425" w:rsidRPr="00A06425" w:rsidRDefault="000103EF" w:rsidP="000103E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103EF">
              <w:rPr>
                <w:rFonts w:asciiTheme="minorHAnsi" w:hAnsiTheme="minorHAnsi" w:cstheme="minorHAnsi"/>
                <w:sz w:val="22"/>
                <w:szCs w:val="22"/>
              </w:rPr>
              <w:t>Koncepcja bezpośredniego przekazania ZPA pod zakres właściwości NASK zakłada, iż Minister Cyfryzacji rozpocznie inicjatywę legislacyjną w zakresie przyjęcia ustawy, która w swojej treści w sposób kompleksowy zagwarantuje realizację zasad ochrony danych osobowych oraz równocześnie spełni potrzeby administracji, środowisk naukowych i organizacji pozarządowych, które były zgłaszane na wcześniejszych etapach uzgodnieniowych.</w:t>
            </w:r>
          </w:p>
        </w:tc>
      </w:tr>
      <w:tr w:rsidR="00A06425" w:rsidRPr="00A06425" w14:paraId="132F3944" w14:textId="77777777" w:rsidTr="000103EF">
        <w:tc>
          <w:tcPr>
            <w:tcW w:w="562" w:type="dxa"/>
            <w:shd w:val="clear" w:color="auto" w:fill="auto"/>
          </w:tcPr>
          <w:p w14:paraId="4A3C6396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09C54078" w14:textId="524C5864" w:rsidR="00A06425" w:rsidRPr="00A06425" w:rsidRDefault="000915EC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UODO</w:t>
            </w:r>
          </w:p>
        </w:tc>
        <w:tc>
          <w:tcPr>
            <w:tcW w:w="1843" w:type="dxa"/>
            <w:shd w:val="clear" w:color="auto" w:fill="auto"/>
          </w:tcPr>
          <w:p w14:paraId="6F47004D" w14:textId="5445EB4D" w:rsidR="00A06425" w:rsidRPr="00A06425" w:rsidRDefault="009944E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944EC"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4678" w:type="dxa"/>
            <w:shd w:val="clear" w:color="auto" w:fill="auto"/>
          </w:tcPr>
          <w:p w14:paraId="11E37978" w14:textId="46196C0E" w:rsidR="00A06425" w:rsidRPr="00A06425" w:rsidRDefault="00F425ED" w:rsidP="000915E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425ED">
              <w:rPr>
                <w:rFonts w:asciiTheme="minorHAnsi" w:hAnsiTheme="minorHAnsi" w:cstheme="minorHAnsi"/>
                <w:sz w:val="22"/>
                <w:szCs w:val="22"/>
              </w:rPr>
              <w:t>Należy również dodać, że Prezes UODO zapewnia</w:t>
            </w:r>
            <w:r w:rsidR="000915E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425ED">
              <w:rPr>
                <w:rFonts w:asciiTheme="minorHAnsi" w:hAnsiTheme="minorHAnsi" w:cstheme="minorHAnsi"/>
                <w:sz w:val="22"/>
                <w:szCs w:val="22"/>
              </w:rPr>
              <w:t>swoje eksperckie wsparcie w</w:t>
            </w:r>
            <w:r w:rsidR="000915E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425ED">
              <w:rPr>
                <w:rFonts w:asciiTheme="minorHAnsi" w:hAnsiTheme="minorHAnsi" w:cstheme="minorHAnsi"/>
                <w:sz w:val="22"/>
                <w:szCs w:val="22"/>
              </w:rPr>
              <w:t>przypadku ponownego podjęcia prac legislacyjnych nad nowelizacją przepisów</w:t>
            </w:r>
            <w:r w:rsidR="000915E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425ED">
              <w:rPr>
                <w:rFonts w:asciiTheme="minorHAnsi" w:hAnsiTheme="minorHAnsi" w:cstheme="minorHAnsi"/>
                <w:sz w:val="22"/>
                <w:szCs w:val="22"/>
              </w:rPr>
              <w:t xml:space="preserve">dotyczących </w:t>
            </w:r>
            <w:r w:rsidRPr="00F425E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przedmiotowego modelu, dokonując</w:t>
            </w:r>
            <w:r w:rsidR="000915E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425ED">
              <w:rPr>
                <w:rFonts w:asciiTheme="minorHAnsi" w:hAnsiTheme="minorHAnsi" w:cstheme="minorHAnsi"/>
                <w:sz w:val="22"/>
                <w:szCs w:val="22"/>
              </w:rPr>
              <w:t>ich oceny pod kątem zgodności z</w:t>
            </w:r>
            <w:r w:rsidR="000915E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425ED">
              <w:rPr>
                <w:rFonts w:asciiTheme="minorHAnsi" w:hAnsiTheme="minorHAnsi" w:cstheme="minorHAnsi"/>
                <w:sz w:val="22"/>
                <w:szCs w:val="22"/>
              </w:rPr>
              <w:t>ogólnym rozporządzeniem o ochronie danych.</w:t>
            </w:r>
          </w:p>
        </w:tc>
        <w:tc>
          <w:tcPr>
            <w:tcW w:w="3118" w:type="dxa"/>
            <w:shd w:val="clear" w:color="auto" w:fill="auto"/>
          </w:tcPr>
          <w:p w14:paraId="5EB7AED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53" w:type="dxa"/>
          </w:tcPr>
          <w:p w14:paraId="47BC0596" w14:textId="376E6470" w:rsidR="00A06425" w:rsidRPr="00A06425" w:rsidRDefault="004E20FA" w:rsidP="000915E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F425ED" w:rsidRPr="00F425ED">
              <w:rPr>
                <w:rFonts w:asciiTheme="minorHAnsi" w:hAnsiTheme="minorHAnsi" w:cstheme="minorHAnsi"/>
                <w:sz w:val="22"/>
                <w:szCs w:val="22"/>
              </w:rPr>
              <w:t xml:space="preserve"> odpowiedzi na pismo Prezesa Urzędu Ochrony Danych Osobowych </w:t>
            </w:r>
            <w:r w:rsidR="009944EC">
              <w:rPr>
                <w:rFonts w:asciiTheme="minorHAnsi" w:hAnsiTheme="minorHAnsi" w:cstheme="minorHAnsi"/>
                <w:sz w:val="22"/>
                <w:szCs w:val="22"/>
              </w:rPr>
              <w:t>MC</w:t>
            </w:r>
            <w:r w:rsidR="00F425ED" w:rsidRPr="00F425ED">
              <w:rPr>
                <w:rFonts w:asciiTheme="minorHAnsi" w:hAnsiTheme="minorHAnsi" w:cstheme="minorHAnsi"/>
                <w:sz w:val="22"/>
                <w:szCs w:val="22"/>
              </w:rPr>
              <w:t xml:space="preserve"> na wstępie wyra</w:t>
            </w:r>
            <w:r w:rsidR="009944EC">
              <w:rPr>
                <w:rFonts w:asciiTheme="minorHAnsi" w:hAnsiTheme="minorHAnsi" w:cstheme="minorHAnsi"/>
                <w:sz w:val="22"/>
                <w:szCs w:val="22"/>
              </w:rPr>
              <w:t>ża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E67B92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F425ED" w:rsidRPr="00F425ED">
              <w:rPr>
                <w:rFonts w:asciiTheme="minorHAnsi" w:hAnsiTheme="minorHAnsi" w:cstheme="minorHAnsi"/>
                <w:sz w:val="22"/>
                <w:szCs w:val="22"/>
              </w:rPr>
              <w:t xml:space="preserve"> podziękowanie za inicjatyw</w:t>
            </w:r>
            <w:r w:rsidR="009944EC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="00F425ED" w:rsidRPr="00F425ED">
              <w:rPr>
                <w:rFonts w:asciiTheme="minorHAnsi" w:hAnsiTheme="minorHAnsi" w:cstheme="minorHAnsi"/>
                <w:sz w:val="22"/>
                <w:szCs w:val="22"/>
              </w:rPr>
              <w:t xml:space="preserve"> wsparcia eksperckiego nad </w:t>
            </w:r>
            <w:r w:rsidR="00F425ED" w:rsidRPr="00F425E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opracowaniem przepisów w zakresie</w:t>
            </w:r>
            <w:r w:rsidR="00440E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425ED" w:rsidRPr="00F425ED">
              <w:rPr>
                <w:rFonts w:asciiTheme="minorHAnsi" w:hAnsiTheme="minorHAnsi" w:cstheme="minorHAnsi"/>
                <w:sz w:val="22"/>
                <w:szCs w:val="22"/>
              </w:rPr>
              <w:t xml:space="preserve">działania </w:t>
            </w:r>
            <w:r w:rsidR="00440EDC">
              <w:rPr>
                <w:rFonts w:asciiTheme="minorHAnsi" w:hAnsiTheme="minorHAnsi" w:cstheme="minorHAnsi"/>
                <w:sz w:val="22"/>
                <w:szCs w:val="22"/>
              </w:rPr>
              <w:t>Zintegrowanej Platformy Analitycznej</w:t>
            </w:r>
            <w:r w:rsidR="00F425ED" w:rsidRPr="00F425ED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9944EC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F425ED" w:rsidRPr="00F425ED">
              <w:rPr>
                <w:rFonts w:asciiTheme="minorHAnsi" w:hAnsiTheme="minorHAnsi" w:cstheme="minorHAnsi"/>
                <w:sz w:val="22"/>
                <w:szCs w:val="22"/>
              </w:rPr>
              <w:t xml:space="preserve">egulacje wypracowane w drodze eksperckiego dialogu pomiędzy instytucjami pozwolą na </w:t>
            </w:r>
            <w:r w:rsidR="00E516AE">
              <w:rPr>
                <w:rFonts w:asciiTheme="minorHAnsi" w:hAnsiTheme="minorHAnsi" w:cstheme="minorHAnsi"/>
                <w:sz w:val="22"/>
                <w:szCs w:val="22"/>
              </w:rPr>
              <w:t>uzyskanie</w:t>
            </w:r>
            <w:r w:rsidR="00F425ED" w:rsidRPr="00F425ED">
              <w:rPr>
                <w:rFonts w:asciiTheme="minorHAnsi" w:hAnsiTheme="minorHAnsi" w:cstheme="minorHAnsi"/>
                <w:sz w:val="22"/>
                <w:szCs w:val="22"/>
              </w:rPr>
              <w:t xml:space="preserve"> efektywnych i co najważniejsze przyszłościowych przepisów, w taki </w:t>
            </w:r>
            <w:r w:rsidRPr="00F425ED">
              <w:rPr>
                <w:rFonts w:asciiTheme="minorHAnsi" w:hAnsiTheme="minorHAnsi" w:cstheme="minorHAnsi"/>
                <w:sz w:val="22"/>
                <w:szCs w:val="22"/>
              </w:rPr>
              <w:t>sposób,</w:t>
            </w:r>
            <w:r w:rsidR="00F425ED" w:rsidRPr="00F425ED">
              <w:rPr>
                <w:rFonts w:asciiTheme="minorHAnsi" w:hAnsiTheme="minorHAnsi" w:cstheme="minorHAnsi"/>
                <w:sz w:val="22"/>
                <w:szCs w:val="22"/>
              </w:rPr>
              <w:t xml:space="preserve"> aby mogły zagwarantować maksymalny poziom bezpieczeństwa dla obywateli oraz skuteczność realizacji zadań administracji.</w:t>
            </w:r>
          </w:p>
        </w:tc>
      </w:tr>
      <w:tr w:rsidR="00A06425" w:rsidRPr="00A06425" w14:paraId="3F1D2600" w14:textId="77777777" w:rsidTr="000103EF">
        <w:tc>
          <w:tcPr>
            <w:tcW w:w="562" w:type="dxa"/>
            <w:shd w:val="clear" w:color="auto" w:fill="auto"/>
          </w:tcPr>
          <w:p w14:paraId="15B49D27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134" w:type="dxa"/>
            <w:shd w:val="clear" w:color="auto" w:fill="auto"/>
          </w:tcPr>
          <w:p w14:paraId="4CFDA487" w14:textId="47B0DF5B" w:rsidR="00A06425" w:rsidRPr="00A06425" w:rsidRDefault="000915EC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</w:p>
        </w:tc>
        <w:tc>
          <w:tcPr>
            <w:tcW w:w="1843" w:type="dxa"/>
            <w:shd w:val="clear" w:color="auto" w:fill="auto"/>
          </w:tcPr>
          <w:p w14:paraId="399DB432" w14:textId="58FED6C7" w:rsidR="00A06425" w:rsidRPr="00A06425" w:rsidRDefault="009944E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944EC"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4678" w:type="dxa"/>
            <w:shd w:val="clear" w:color="auto" w:fill="auto"/>
          </w:tcPr>
          <w:p w14:paraId="5F55A458" w14:textId="0256F7B5" w:rsidR="000915EC" w:rsidRPr="000915EC" w:rsidRDefault="000915EC" w:rsidP="000915E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15EC">
              <w:rPr>
                <w:rFonts w:asciiTheme="minorHAnsi" w:hAnsiTheme="minorHAnsi" w:cstheme="minorHAnsi"/>
                <w:sz w:val="22"/>
                <w:szCs w:val="22"/>
              </w:rPr>
              <w:t>Jednocześnie informuję, że zgodnie z zawartym w dniu 30.01.2025 r. aneksem do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915EC">
              <w:rPr>
                <w:rFonts w:asciiTheme="minorHAnsi" w:hAnsiTheme="minorHAnsi" w:cstheme="minorHAnsi"/>
                <w:sz w:val="22"/>
                <w:szCs w:val="22"/>
              </w:rPr>
              <w:t>porozumienia o dofinansowanie projektu, przedmiotowy projekt finansowany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915EC">
              <w:rPr>
                <w:rFonts w:asciiTheme="minorHAnsi" w:hAnsiTheme="minorHAnsi" w:cstheme="minorHAnsi"/>
                <w:sz w:val="22"/>
                <w:szCs w:val="22"/>
              </w:rPr>
              <w:t>ze środków Programu Operacyjnego Polska Cyfrowa na lata 2014-2020 został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915EC">
              <w:rPr>
                <w:rFonts w:asciiTheme="minorHAnsi" w:hAnsiTheme="minorHAnsi" w:cstheme="minorHAnsi"/>
                <w:sz w:val="22"/>
                <w:szCs w:val="22"/>
              </w:rPr>
              <w:t>uznany za projekt niefunkcjonujący. W przypadku nieosiągnięcia przez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915EC">
              <w:rPr>
                <w:rFonts w:asciiTheme="minorHAnsi" w:hAnsiTheme="minorHAnsi" w:cstheme="minorHAnsi"/>
                <w:sz w:val="22"/>
                <w:szCs w:val="22"/>
              </w:rPr>
              <w:t>Beneficjenta założonych celów projektu w wyznaczonym terminie, całość</w:t>
            </w:r>
          </w:p>
          <w:p w14:paraId="7216C43E" w14:textId="354BA191" w:rsidR="00A06425" w:rsidRPr="00A06425" w:rsidRDefault="000915EC" w:rsidP="000915E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15EC">
              <w:rPr>
                <w:rFonts w:asciiTheme="minorHAnsi" w:hAnsiTheme="minorHAnsi" w:cstheme="minorHAnsi"/>
                <w:sz w:val="22"/>
                <w:szCs w:val="22"/>
              </w:rPr>
              <w:t>wydatków poniesionych przez Beneficjenta w ramach projektu może zostać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915EC">
              <w:rPr>
                <w:rFonts w:asciiTheme="minorHAnsi" w:hAnsiTheme="minorHAnsi" w:cstheme="minorHAnsi"/>
                <w:sz w:val="22"/>
                <w:szCs w:val="22"/>
              </w:rPr>
              <w:t>uznana za niekwalifikowalną.</w:t>
            </w:r>
          </w:p>
        </w:tc>
        <w:tc>
          <w:tcPr>
            <w:tcW w:w="3118" w:type="dxa"/>
            <w:shd w:val="clear" w:color="auto" w:fill="auto"/>
          </w:tcPr>
          <w:p w14:paraId="6E7375C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53" w:type="dxa"/>
          </w:tcPr>
          <w:p w14:paraId="5E7B66A1" w14:textId="79F32D4F" w:rsidR="00A06425" w:rsidRPr="00A06425" w:rsidRDefault="00AF6B12" w:rsidP="009944E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Projekt </w:t>
            </w:r>
            <w:r w:rsidR="00CD1AF2">
              <w:rPr>
                <w:rFonts w:asciiTheme="minorHAnsi" w:hAnsiTheme="minorHAnsi" w:cstheme="minorHAnsi"/>
                <w:sz w:val="22"/>
                <w:szCs w:val="22"/>
              </w:rPr>
              <w:t xml:space="preserve">zmiany ustawy o informatyzacji podmiotów realizujących zadania publiczne w zakresie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ZPA </w:t>
            </w:r>
            <w:r w:rsidR="00CD1AF2">
              <w:rPr>
                <w:rFonts w:asciiTheme="minorHAnsi" w:hAnsiTheme="minorHAnsi" w:cstheme="minorHAnsi"/>
                <w:sz w:val="22"/>
                <w:szCs w:val="22"/>
              </w:rPr>
              <w:t xml:space="preserve">został przekazany do </w:t>
            </w:r>
            <w:r w:rsidR="009944EC">
              <w:rPr>
                <w:rFonts w:asciiTheme="minorHAnsi" w:hAnsiTheme="minorHAnsi" w:cstheme="minorHAnsi"/>
                <w:sz w:val="22"/>
                <w:szCs w:val="22"/>
              </w:rPr>
              <w:t>opinii Zespołu do Spraw Programowania Prac Rządu. Otrzymani</w:t>
            </w:r>
            <w:r w:rsidR="00CD1AF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9944EC">
              <w:rPr>
                <w:rFonts w:asciiTheme="minorHAnsi" w:hAnsiTheme="minorHAnsi" w:cstheme="minorHAnsi"/>
                <w:sz w:val="22"/>
                <w:szCs w:val="22"/>
              </w:rPr>
              <w:t xml:space="preserve"> pozytywnej opinii pozwoli na oficjalne rozpoczęcie rządowego etapu legislacyjnego nad ustawą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D1AF2">
              <w:rPr>
                <w:rFonts w:asciiTheme="minorHAnsi" w:hAnsiTheme="minorHAnsi" w:cstheme="minorHAnsi"/>
                <w:sz w:val="22"/>
                <w:szCs w:val="22"/>
              </w:rPr>
              <w:t>doszczgółowiającą</w:t>
            </w:r>
            <w:r w:rsidR="00F8185F">
              <w:rPr>
                <w:rFonts w:asciiTheme="minorHAnsi" w:hAnsiTheme="minorHAnsi" w:cstheme="minorHAnsi"/>
                <w:sz w:val="22"/>
                <w:szCs w:val="22"/>
              </w:rPr>
              <w:t xml:space="preserve"> obowiązując</w:t>
            </w:r>
            <w:r w:rsidR="00CD1AF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F8185F">
              <w:rPr>
                <w:rFonts w:asciiTheme="minorHAnsi" w:hAnsiTheme="minorHAnsi" w:cstheme="minorHAnsi"/>
                <w:sz w:val="22"/>
                <w:szCs w:val="22"/>
              </w:rPr>
              <w:t xml:space="preserve"> przepi</w:t>
            </w:r>
            <w:r w:rsidR="00CD1AF2">
              <w:rPr>
                <w:rFonts w:asciiTheme="minorHAnsi" w:hAnsiTheme="minorHAnsi" w:cstheme="minorHAnsi"/>
                <w:sz w:val="22"/>
                <w:szCs w:val="22"/>
              </w:rPr>
              <w:t>sy</w:t>
            </w:r>
            <w:r w:rsidR="00F8185F">
              <w:rPr>
                <w:rFonts w:asciiTheme="minorHAnsi" w:hAnsiTheme="minorHAnsi" w:cstheme="minorHAnsi"/>
                <w:sz w:val="22"/>
                <w:szCs w:val="22"/>
              </w:rPr>
              <w:t xml:space="preserve"> i jednocześnie</w:t>
            </w:r>
            <w:r w:rsidR="00CD1AF2">
              <w:rPr>
                <w:rFonts w:asciiTheme="minorHAnsi" w:hAnsiTheme="minorHAnsi" w:cstheme="minorHAnsi"/>
                <w:sz w:val="22"/>
                <w:szCs w:val="22"/>
              </w:rPr>
              <w:t xml:space="preserve"> wykluczającą wszelkie wątpliwości związane z potwierdzeniem kwalifikowalności</w:t>
            </w:r>
            <w:r w:rsidR="00F8185F">
              <w:rPr>
                <w:rFonts w:asciiTheme="minorHAnsi" w:hAnsiTheme="minorHAnsi" w:cstheme="minorHAnsi"/>
                <w:sz w:val="22"/>
                <w:szCs w:val="22"/>
              </w:rPr>
              <w:t xml:space="preserve"> środków</w:t>
            </w:r>
            <w:r w:rsidR="009944E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14:paraId="64BE03DA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8BC2CA" w14:textId="77777777" w:rsidR="005A7600" w:rsidRDefault="005A7600" w:rsidP="00F8185F">
      <w:r>
        <w:separator/>
      </w:r>
    </w:p>
  </w:endnote>
  <w:endnote w:type="continuationSeparator" w:id="0">
    <w:p w14:paraId="7B75ABC7" w14:textId="77777777" w:rsidR="005A7600" w:rsidRDefault="005A7600" w:rsidP="00F81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B0A02" w14:textId="77777777" w:rsidR="005A7600" w:rsidRDefault="005A7600" w:rsidP="00F8185F">
      <w:r>
        <w:separator/>
      </w:r>
    </w:p>
  </w:footnote>
  <w:footnote w:type="continuationSeparator" w:id="0">
    <w:p w14:paraId="7859A769" w14:textId="77777777" w:rsidR="005A7600" w:rsidRDefault="005A7600" w:rsidP="00F818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103EF"/>
    <w:rsid w:val="00034258"/>
    <w:rsid w:val="000915EC"/>
    <w:rsid w:val="00140BE8"/>
    <w:rsid w:val="0019648E"/>
    <w:rsid w:val="002715B2"/>
    <w:rsid w:val="003124D1"/>
    <w:rsid w:val="003B4105"/>
    <w:rsid w:val="00440EDC"/>
    <w:rsid w:val="004D086F"/>
    <w:rsid w:val="004E20FA"/>
    <w:rsid w:val="005A7600"/>
    <w:rsid w:val="005F6527"/>
    <w:rsid w:val="006705EC"/>
    <w:rsid w:val="006E16E9"/>
    <w:rsid w:val="00807385"/>
    <w:rsid w:val="00944932"/>
    <w:rsid w:val="009944EC"/>
    <w:rsid w:val="009E5FDB"/>
    <w:rsid w:val="00A06425"/>
    <w:rsid w:val="00AC7796"/>
    <w:rsid w:val="00AF6B12"/>
    <w:rsid w:val="00B871B6"/>
    <w:rsid w:val="00C64B1B"/>
    <w:rsid w:val="00CD1AF2"/>
    <w:rsid w:val="00CD5EB0"/>
    <w:rsid w:val="00D310F4"/>
    <w:rsid w:val="00E14C33"/>
    <w:rsid w:val="00E516AE"/>
    <w:rsid w:val="00E67B92"/>
    <w:rsid w:val="00F425ED"/>
    <w:rsid w:val="00F8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29E684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F8185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8185F"/>
  </w:style>
  <w:style w:type="character" w:styleId="Odwoanieprzypisukocowego">
    <w:name w:val="endnote reference"/>
    <w:basedOn w:val="Domylnaczcionkaakapitu"/>
    <w:rsid w:val="00F818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2</Pages>
  <Words>490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Rymsza Szymon</cp:lastModifiedBy>
  <cp:revision>8</cp:revision>
  <dcterms:created xsi:type="dcterms:W3CDTF">2025-02-11T07:46:00Z</dcterms:created>
  <dcterms:modified xsi:type="dcterms:W3CDTF">2025-02-11T13:22:00Z</dcterms:modified>
</cp:coreProperties>
</file>